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38" w:rsidRDefault="00591B38" w:rsidP="00591B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Taller</w:t>
      </w:r>
    </w:p>
    <w:p w:rsidR="00000000" w:rsidRPr="00591B38" w:rsidRDefault="00591B38" w:rsidP="00591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B38">
        <w:rPr>
          <w:rFonts w:ascii="Times New Roman" w:hAnsi="Times New Roman" w:cs="Times New Roman"/>
          <w:b/>
          <w:sz w:val="28"/>
          <w:szCs w:val="28"/>
        </w:rPr>
        <w:t>Diseño y evaluación de programas</w:t>
      </w:r>
    </w:p>
    <w:p w:rsidR="00591B38" w:rsidRDefault="00591B38" w:rsidP="00591B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Palma, 21 de julio de 2015, de 16:00 a 20:00</w:t>
      </w:r>
    </w:p>
    <w:p w:rsidR="00591B38" w:rsidRPr="00591B38" w:rsidRDefault="00591B38" w:rsidP="00591B3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91B38">
        <w:rPr>
          <w:rFonts w:ascii="Times New Roman" w:hAnsi="Times New Roman" w:cs="Times New Roman"/>
          <w:b/>
          <w:i/>
          <w:sz w:val="24"/>
          <w:szCs w:val="24"/>
        </w:rPr>
        <w:t>XIV Congreso de Metodología de las Ciencias Sociales y de la Salud</w:t>
      </w:r>
    </w:p>
    <w:p w:rsidR="00591B38" w:rsidRDefault="00591B38" w:rsidP="00591B3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B38" w:rsidRP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  <w:t xml:space="preserve">Ponentes: 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>Salvador Chacón Moscoso y Susana Sanduvete Chaves</w:t>
      </w:r>
    </w:p>
    <w:p w:rsidR="00591B38" w:rsidRDefault="00591B38" w:rsidP="00C7799F">
      <w:pPr>
        <w:rPr>
          <w:rFonts w:ascii="Times New Roman" w:eastAsia="Times New Roman" w:hAnsi="Times New Roman" w:cs="Times New Roman"/>
          <w:color w:val="292929"/>
          <w:sz w:val="24"/>
          <w:szCs w:val="24"/>
        </w:rPr>
      </w:pPr>
    </w:p>
    <w:p w:rsidR="00591B38" w:rsidRP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  <w:t>Objetivos:</w:t>
      </w:r>
      <w:r w:rsidRPr="00591B38">
        <w:t xml:space="preserve"> </w:t>
      </w:r>
      <w:r w:rsidRPr="00591B38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dotar a los participantes de conocimientos sobre los principales contenidos teórico-metodológicos y prácticos en materia de diseño y evaluación de programas de intervención. </w:t>
      </w:r>
    </w:p>
    <w:p w:rsidR="00591B38" w:rsidRDefault="00591B38" w:rsidP="00C7799F">
      <w:pPr>
        <w:rPr>
          <w:rFonts w:ascii="Times New Roman" w:eastAsia="Times New Roman" w:hAnsi="Times New Roman" w:cs="Times New Roman"/>
          <w:color w:val="292929"/>
          <w:sz w:val="24"/>
          <w:szCs w:val="24"/>
        </w:rPr>
      </w:pPr>
    </w:p>
    <w:p w:rsidR="00591B38" w:rsidRP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  <w:t>Índice temático:</w:t>
      </w:r>
    </w:p>
    <w:p w:rsidR="00591B38" w:rsidRPr="00591B38" w:rsidRDefault="00591B38" w:rsidP="00C7799F">
      <w:pPr>
        <w:pStyle w:val="Prrafodelista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Introducción a la evaluación de programas:</w:t>
      </w:r>
    </w:p>
    <w:p w:rsidR="00591B38" w:rsidRPr="00591B38" w:rsidRDefault="008C6B07" w:rsidP="00C7799F">
      <w:pPr>
        <w:pStyle w:val="Prrafodelista"/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1B38"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Conceptos preliminares.</w:t>
      </w:r>
    </w:p>
    <w:p w:rsidR="00591B38" w:rsidRPr="00591B38" w:rsidRDefault="008C6B07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1B38"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Bases metodológicas.</w:t>
      </w:r>
    </w:p>
    <w:p w:rsidR="00591B38" w:rsidRPr="00591B38" w:rsidRDefault="00591B38" w:rsidP="00C7799F">
      <w:pPr>
        <w:pStyle w:val="Prrafodelista"/>
        <w:ind w:left="1080"/>
        <w:rPr>
          <w:rFonts w:ascii="Times New Roman" w:eastAsia="Times New Roman" w:hAnsi="Times New Roman" w:cs="Times New Roman"/>
          <w:color w:val="292929"/>
          <w:sz w:val="24"/>
          <w:szCs w:val="24"/>
        </w:rPr>
      </w:pPr>
    </w:p>
    <w:p w:rsidR="00591B38" w:rsidRPr="00591B38" w:rsidRDefault="00591B38" w:rsidP="00C7799F">
      <w:pPr>
        <w:pStyle w:val="Prrafodelist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Evidencias de validez y sistemas de información:</w:t>
      </w:r>
    </w:p>
    <w:p w:rsidR="00591B38" w:rsidRPr="00591B38" w:rsidRDefault="008C6B07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1B38"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Validez. </w:t>
      </w:r>
    </w:p>
    <w:p w:rsidR="00591B38" w:rsidRPr="00591B38" w:rsidRDefault="008C6B07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1B38"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Indicadores.</w:t>
      </w:r>
    </w:p>
    <w:p w:rsidR="00591B38" w:rsidRPr="00591B38" w:rsidRDefault="008C6B07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1B38"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Instrumentos de evaluación.</w:t>
      </w:r>
    </w:p>
    <w:p w:rsidR="00591B38" w:rsidRPr="00591B38" w:rsidRDefault="00591B38" w:rsidP="00C7799F">
      <w:pPr>
        <w:pStyle w:val="Prrafodelista"/>
        <w:ind w:left="1080"/>
        <w:rPr>
          <w:rFonts w:ascii="Times New Roman" w:eastAsia="Times New Roman" w:hAnsi="Times New Roman" w:cs="Times New Roman"/>
          <w:color w:val="292929"/>
          <w:sz w:val="24"/>
          <w:szCs w:val="24"/>
        </w:rPr>
      </w:pPr>
    </w:p>
    <w:p w:rsidR="00591B38" w:rsidRPr="00591B38" w:rsidRDefault="00591B38" w:rsidP="00C7799F">
      <w:pPr>
        <w:pStyle w:val="Prrafodelist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Diseños de evaluación de programas:</w:t>
      </w:r>
    </w:p>
    <w:p w:rsidR="00591B38" w:rsidRPr="00591B38" w:rsidRDefault="00C7799F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Alta intervención.</w:t>
      </w:r>
    </w:p>
    <w:p w:rsidR="00591B38" w:rsidRPr="00591B38" w:rsidRDefault="00C7799F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Media intervención.</w:t>
      </w:r>
    </w:p>
    <w:p w:rsidR="00591B38" w:rsidRPr="00C7799F" w:rsidRDefault="00C7799F" w:rsidP="00C7799F">
      <w:pPr>
        <w:pStyle w:val="Prrafodelista"/>
        <w:numPr>
          <w:ilvl w:val="1"/>
          <w:numId w:val="2"/>
        </w:numPr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1B38" w:rsidRPr="00591B38">
        <w:rPr>
          <w:rFonts w:ascii="Times New Roman" w:eastAsia="Times New Roman" w:hAnsi="Times New Roman" w:cs="Times New Roman"/>
          <w:color w:val="000000"/>
          <w:sz w:val="24"/>
          <w:szCs w:val="24"/>
        </w:rPr>
        <w:t>Baja intervención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7799F" w:rsidRPr="00591B38" w:rsidRDefault="00C7799F" w:rsidP="00C7799F">
      <w:pPr>
        <w:pStyle w:val="Prrafodelista"/>
        <w:ind w:left="1080"/>
        <w:rPr>
          <w:rFonts w:ascii="Times New Roman" w:eastAsia="Times New Roman" w:hAnsi="Times New Roman" w:cs="Times New Roman"/>
          <w:color w:val="292929"/>
          <w:sz w:val="24"/>
          <w:szCs w:val="24"/>
        </w:rPr>
      </w:pPr>
    </w:p>
    <w:p w:rsidR="00591B38" w:rsidRP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  <w:t xml:space="preserve">Destinatarios: </w:t>
      </w:r>
      <w:r w:rsidRPr="00591B38">
        <w:rPr>
          <w:rFonts w:ascii="Times New Roman" w:eastAsia="Times New Roman" w:hAnsi="Times New Roman" w:cs="Times New Roman"/>
          <w:color w:val="292929"/>
          <w:sz w:val="24"/>
          <w:szCs w:val="24"/>
        </w:rPr>
        <w:t>personas interesadas</w:t>
      </w:r>
      <w:r w:rsidRPr="00591B38"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  <w:t xml:space="preserve"> </w:t>
      </w:r>
      <w:r w:rsidRPr="00591B38">
        <w:rPr>
          <w:rFonts w:ascii="Times New Roman" w:eastAsia="Times New Roman" w:hAnsi="Times New Roman" w:cs="Times New Roman"/>
          <w:color w:val="292929"/>
          <w:sz w:val="24"/>
          <w:szCs w:val="24"/>
        </w:rPr>
        <w:t>en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el diseño, la ejecución y/o la evaluación de </w:t>
      </w:r>
      <w:r w:rsidR="00C7799F">
        <w:rPr>
          <w:rFonts w:ascii="Times New Roman" w:eastAsia="Times New Roman" w:hAnsi="Times New Roman" w:cs="Times New Roman"/>
          <w:color w:val="292929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>rogramas en cualquier ámbito de intervención (e.g., de la salud, social, de la</w:t>
      </w:r>
      <w:r w:rsidR="00C7799F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color w:val="292929"/>
          <w:sz w:val="24"/>
          <w:szCs w:val="24"/>
        </w:rPr>
        <w:t>ducación, organizacional).</w:t>
      </w:r>
      <w:r w:rsidRPr="00591B38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No se requieren conocimientos previos.</w:t>
      </w:r>
    </w:p>
    <w:p w:rsidR="00591B38" w:rsidRP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</w:p>
    <w:p w:rsid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  <w:r w:rsidRPr="00591B38"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  <w:t>Referencias:</w:t>
      </w:r>
    </w:p>
    <w:p w:rsidR="00C7799F" w:rsidRDefault="00C7799F" w:rsidP="00C7799F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</w:rPr>
      </w:pPr>
      <w:r w:rsidRPr="00C7799F">
        <w:rPr>
          <w:rFonts w:ascii="Times New Roman" w:eastAsia="Times New Roman" w:hAnsi="Times New Roman" w:cs="Times New Roman"/>
          <w:sz w:val="24"/>
          <w:szCs w:val="24"/>
        </w:rPr>
        <w:t xml:space="preserve">Anguera, M. T., Chacón, S. y Blanco, A. (2008). </w:t>
      </w:r>
      <w:r w:rsidRPr="00C7799F">
        <w:rPr>
          <w:rFonts w:ascii="Times New Roman" w:eastAsia="Times New Roman" w:hAnsi="Times New Roman" w:cs="Times New Roman"/>
          <w:i/>
          <w:sz w:val="24"/>
          <w:szCs w:val="24"/>
        </w:rPr>
        <w:t>Evaluación de programas sociales y sanitarios. Un abordaje metodológico</w:t>
      </w:r>
      <w:r w:rsidRPr="00C7799F">
        <w:rPr>
          <w:rFonts w:ascii="Times New Roman" w:eastAsia="Times New Roman" w:hAnsi="Times New Roman" w:cs="Times New Roman"/>
          <w:sz w:val="24"/>
          <w:szCs w:val="24"/>
        </w:rPr>
        <w:t xml:space="preserve">. Madrid: Síntesis. </w:t>
      </w:r>
    </w:p>
    <w:p w:rsidR="00C7799F" w:rsidRPr="00C7799F" w:rsidRDefault="00C7799F" w:rsidP="00C7799F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</w:rPr>
      </w:pPr>
      <w:r w:rsidRPr="00C7799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Chacón, S., Anguera, M. T., Sanduvete, S. &amp; Sánchez, M. (2014). Methodological convergence of program evaluation designs. </w:t>
      </w:r>
      <w:r w:rsidRPr="00D316F1">
        <w:rPr>
          <w:rFonts w:ascii="Times New Roman" w:eastAsia="Times New Roman" w:hAnsi="Times New Roman" w:cs="Times New Roman"/>
          <w:i/>
          <w:iCs/>
          <w:sz w:val="24"/>
          <w:szCs w:val="24"/>
        </w:rPr>
        <w:t>Psicothema, 26</w:t>
      </w:r>
      <w:r w:rsidRPr="00C7799F">
        <w:rPr>
          <w:rFonts w:ascii="Times New Roman" w:eastAsia="Times New Roman" w:hAnsi="Times New Roman" w:cs="Times New Roman"/>
          <w:sz w:val="24"/>
          <w:szCs w:val="24"/>
        </w:rPr>
        <w:t xml:space="preserve">(1), </w:t>
      </w:r>
      <w:r w:rsidRPr="00D316F1">
        <w:rPr>
          <w:rFonts w:ascii="Times New Roman" w:eastAsia="Times New Roman" w:hAnsi="Times New Roman" w:cs="Times New Roman"/>
          <w:sz w:val="24"/>
          <w:szCs w:val="24"/>
        </w:rPr>
        <w:t>91–96</w:t>
      </w:r>
      <w:r w:rsidRPr="00C7799F">
        <w:rPr>
          <w:rFonts w:ascii="Times New Roman" w:eastAsia="Times New Roman" w:hAnsi="Times New Roman" w:cs="Times New Roman"/>
          <w:sz w:val="24"/>
          <w:szCs w:val="24"/>
        </w:rPr>
        <w:t>. doi: 10.7334/psicothema2013.144</w:t>
      </w:r>
    </w:p>
    <w:p w:rsidR="00C7799F" w:rsidRPr="00C7799F" w:rsidRDefault="00C7799F" w:rsidP="00C7799F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7799F">
        <w:rPr>
          <w:rFonts w:ascii="Times New Roman" w:eastAsia="Times New Roman" w:hAnsi="Times New Roman" w:cs="Times New Roman"/>
          <w:sz w:val="24"/>
          <w:szCs w:val="24"/>
        </w:rPr>
        <w:t xml:space="preserve">Chacón, S., Sanduvete, S., Portell, M. &amp; Anguera, M. T. (2013). </w:t>
      </w:r>
      <w:r w:rsidRPr="00C7799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Reporting a program evaluation: needs, program plan, intervention and decision. </w:t>
      </w:r>
      <w:r w:rsidRPr="00C7799F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International Journal of Clinical</w:t>
      </w:r>
      <w:r w:rsidR="00D316F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</w:t>
      </w:r>
      <w:r w:rsidRPr="00C7799F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and Health</w:t>
      </w:r>
      <w:r w:rsidR="00D316F1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</w:t>
      </w:r>
      <w:r w:rsidRPr="00C7799F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Psychology,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</w:t>
      </w:r>
      <w:r w:rsidRPr="00C7799F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13</w:t>
      </w:r>
      <w:r w:rsidRPr="00C7799F">
        <w:rPr>
          <w:rFonts w:ascii="Times New Roman" w:eastAsia="Times New Roman" w:hAnsi="Times New Roman" w:cs="Times New Roman"/>
          <w:sz w:val="24"/>
          <w:szCs w:val="24"/>
          <w:lang w:val="en-US"/>
        </w:rPr>
        <w:t>(1)</w:t>
      </w:r>
      <w:r w:rsidR="00D316F1" w:rsidRPr="00C7799F">
        <w:rPr>
          <w:rFonts w:ascii="Times New Roman" w:eastAsia="Times New Roman" w:hAnsi="Times New Roman" w:cs="Times New Roman"/>
          <w:sz w:val="24"/>
          <w:szCs w:val="24"/>
          <w:lang w:val="en-US"/>
        </w:rPr>
        <w:t>, 58</w:t>
      </w:r>
      <w:r w:rsidRPr="00C7799F">
        <w:rPr>
          <w:rFonts w:ascii="Times New Roman" w:eastAsia="Times New Roman" w:hAnsi="Times New Roman" w:cs="Times New Roman"/>
          <w:sz w:val="24"/>
          <w:szCs w:val="24"/>
          <w:lang w:val="en-US"/>
        </w:rPr>
        <w:t>–66.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C7799F">
        <w:rPr>
          <w:rFonts w:ascii="Times New Roman" w:eastAsia="Times New Roman" w:hAnsi="Times New Roman" w:cs="Times New Roman"/>
          <w:sz w:val="24"/>
          <w:szCs w:val="24"/>
          <w:lang w:val="en-US"/>
        </w:rPr>
        <w:t>Disponible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</w:t>
      </w:r>
      <w:r w:rsidRPr="00C7799F">
        <w:rPr>
          <w:rFonts w:ascii="Times New Roman" w:eastAsia="Times New Roman" w:hAnsi="Times New Roman" w:cs="Times New Roman"/>
          <w:sz w:val="24"/>
          <w:szCs w:val="24"/>
          <w:lang w:val="en-US"/>
        </w:rPr>
        <w:t>n </w:t>
      </w:r>
      <w:hyperlink r:id="rId5" w:history="1">
        <w:r w:rsidRPr="00956C6C">
          <w:rPr>
            <w:rStyle w:val="Hipervnculo"/>
            <w:rFonts w:ascii="Times New Roman" w:eastAsia="Times New Roman" w:hAnsi="Times New Roman" w:cs="Times New Roman"/>
            <w:sz w:val="24"/>
            <w:szCs w:val="24"/>
            <w:lang w:val="en-US"/>
          </w:rPr>
          <w:t>http://www.aepc.es/ijchp/articulos_pdf/ijchp-433_es.pdf</w:t>
        </w:r>
      </w:hyperlink>
    </w:p>
    <w:p w:rsidR="00591B38" w:rsidRPr="00591B38" w:rsidRDefault="00591B38" w:rsidP="00C7799F">
      <w:pPr>
        <w:rPr>
          <w:rFonts w:ascii="Times New Roman" w:eastAsia="Times New Roman" w:hAnsi="Times New Roman" w:cs="Times New Roman"/>
          <w:b/>
          <w:color w:val="292929"/>
          <w:sz w:val="24"/>
          <w:szCs w:val="24"/>
        </w:rPr>
      </w:pPr>
      <w:bookmarkStart w:id="0" w:name="p7427-8"/>
      <w:bookmarkEnd w:id="0"/>
    </w:p>
    <w:sectPr w:rsidR="00591B38" w:rsidRPr="00591B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60CDC"/>
    <w:multiLevelType w:val="hybridMultilevel"/>
    <w:tmpl w:val="8A58CAEA"/>
    <w:lvl w:ilvl="0" w:tplc="4B64D492">
      <w:start w:val="2"/>
      <w:numFmt w:val="bullet"/>
      <w:lvlText w:val="-"/>
      <w:lvlJc w:val="left"/>
      <w:pPr>
        <w:ind w:left="3208" w:hanging="360"/>
      </w:pPr>
      <w:rPr>
        <w:rFonts w:ascii="Times New Roman" w:eastAsia="MS Mincho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392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8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8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4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</w:abstractNum>
  <w:abstractNum w:abstractNumId="1">
    <w:nsid w:val="609A43DE"/>
    <w:multiLevelType w:val="multilevel"/>
    <w:tmpl w:val="C3BEE1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702D38E2"/>
    <w:multiLevelType w:val="hybridMultilevel"/>
    <w:tmpl w:val="9AFAE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2135D2"/>
    <w:multiLevelType w:val="hybridMultilevel"/>
    <w:tmpl w:val="EBDAC2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5"/>
  <w:proofState w:spelling="clean" w:grammar="clean"/>
  <w:defaultTabStop w:val="708"/>
  <w:hyphenationZone w:val="425"/>
  <w:characterSpacingControl w:val="doNotCompress"/>
  <w:compat>
    <w:useFELayout/>
  </w:compat>
  <w:rsids>
    <w:rsidRoot w:val="00591B38"/>
    <w:rsid w:val="00591B38"/>
    <w:rsid w:val="008C6B07"/>
    <w:rsid w:val="00C7799F"/>
    <w:rsid w:val="00D31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1B38"/>
    <w:pPr>
      <w:ind w:left="720"/>
      <w:contextualSpacing/>
    </w:pPr>
  </w:style>
  <w:style w:type="table" w:styleId="Tablaconcuadrcula">
    <w:name w:val="Table Grid"/>
    <w:basedOn w:val="Tablanormal"/>
    <w:uiPriority w:val="59"/>
    <w:rsid w:val="00591B3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uto">
    <w:name w:val="auto"/>
    <w:basedOn w:val="Normal"/>
    <w:rsid w:val="00C77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C7799F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C7799F"/>
    <w:rPr>
      <w:i/>
      <w:iCs/>
    </w:rPr>
  </w:style>
  <w:style w:type="character" w:customStyle="1" w:styleId="nobr">
    <w:name w:val="nobr"/>
    <w:basedOn w:val="Fuentedeprrafopredeter"/>
    <w:rsid w:val="00C7799F"/>
  </w:style>
  <w:style w:type="paragraph" w:styleId="Textodeglobo">
    <w:name w:val="Balloon Text"/>
    <w:basedOn w:val="Normal"/>
    <w:link w:val="TextodegloboCar"/>
    <w:uiPriority w:val="99"/>
    <w:semiHidden/>
    <w:unhideWhenUsed/>
    <w:rsid w:val="00C77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79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9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epc.es/ijchp/articulos_pdf/ijchp-433_e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susana</cp:lastModifiedBy>
  <cp:revision>4</cp:revision>
  <dcterms:created xsi:type="dcterms:W3CDTF">2015-04-14T10:04:00Z</dcterms:created>
  <dcterms:modified xsi:type="dcterms:W3CDTF">2015-04-14T10:29:00Z</dcterms:modified>
</cp:coreProperties>
</file>